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Ind w:w="-1" w:type="dxa"/>
        <w:tblCellMar>
          <w:left w:w="0" w:type="dxa"/>
          <w:right w:w="0" w:type="dxa"/>
        </w:tblCellMar>
        <w:tblLook w:val="04A0" w:firstRow="1" w:lastRow="0" w:firstColumn="1" w:lastColumn="0" w:noHBand="0" w:noVBand="1"/>
      </w:tblPr>
      <w:tblGrid>
        <w:gridCol w:w="1718"/>
        <w:gridCol w:w="2447"/>
        <w:gridCol w:w="2347"/>
        <w:gridCol w:w="2580"/>
      </w:tblGrid>
      <w:tr w:rsidR="002137F7" w:rsidRPr="00BC6FE8" w:rsidTr="00BE64BE">
        <w:tc>
          <w:tcPr>
            <w:tcW w:w="1010" w:type="pct"/>
            <w:hideMark/>
          </w:tcPr>
          <w:p w:rsidR="002137F7" w:rsidRPr="00BC6FE8" w:rsidRDefault="002137F7" w:rsidP="00BE64BE">
            <w:pPr>
              <w:spacing w:line="240" w:lineRule="auto"/>
              <w:rPr>
                <w:rFonts w:ascii="Calibri" w:hAnsi="Calibri"/>
                <w:noProof/>
                <w:lang w:eastAsia="pl-PL"/>
              </w:rPr>
            </w:pPr>
            <w:r w:rsidRPr="00BC6FE8">
              <w:rPr>
                <w:rFonts w:ascii="Calibri" w:hAnsi="Calibri"/>
                <w:noProof/>
                <w:lang w:eastAsia="pl-PL"/>
              </w:rPr>
              <w:drawing>
                <wp:inline distT="0" distB="0" distL="0" distR="0" wp14:anchorId="740478AF" wp14:editId="6A96CD47">
                  <wp:extent cx="1025525" cy="437515"/>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11" w:type="pct"/>
            <w:hideMark/>
          </w:tcPr>
          <w:p w:rsidR="002137F7" w:rsidRPr="00BC6FE8" w:rsidRDefault="002137F7" w:rsidP="00BE64BE">
            <w:pPr>
              <w:spacing w:line="240" w:lineRule="auto"/>
              <w:ind w:left="-77" w:right="2"/>
              <w:jc w:val="center"/>
              <w:rPr>
                <w:rFonts w:ascii="Calibri" w:hAnsi="Calibri"/>
                <w:noProof/>
                <w:lang w:eastAsia="pl-PL"/>
              </w:rPr>
            </w:pPr>
            <w:r w:rsidRPr="00BC6FE8">
              <w:rPr>
                <w:rFonts w:ascii="Calibri" w:hAnsi="Calibri"/>
                <w:noProof/>
                <w:lang w:eastAsia="pl-PL"/>
              </w:rPr>
              <w:drawing>
                <wp:inline distT="0" distB="0" distL="0" distR="0" wp14:anchorId="364E18CD" wp14:editId="6D1A3B8C">
                  <wp:extent cx="1407160" cy="437515"/>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56" w:type="pct"/>
            <w:hideMark/>
          </w:tcPr>
          <w:p w:rsidR="002137F7" w:rsidRPr="00BC6FE8" w:rsidRDefault="002137F7" w:rsidP="00BE64BE">
            <w:pPr>
              <w:spacing w:line="240" w:lineRule="auto"/>
              <w:ind w:right="25"/>
              <w:jc w:val="center"/>
              <w:rPr>
                <w:rFonts w:ascii="Calibri" w:hAnsi="Calibri"/>
                <w:noProof/>
                <w:lang w:eastAsia="pl-PL"/>
              </w:rPr>
            </w:pPr>
            <w:r w:rsidRPr="00BC6FE8">
              <w:rPr>
                <w:rFonts w:ascii="Calibri" w:hAnsi="Calibri"/>
                <w:noProof/>
                <w:lang w:eastAsia="pl-PL"/>
              </w:rPr>
              <w:drawing>
                <wp:inline distT="0" distB="0" distL="0" distR="0" wp14:anchorId="226B6A37" wp14:editId="0DD6794E">
                  <wp:extent cx="962025" cy="43751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222" w:type="pct"/>
            <w:hideMark/>
          </w:tcPr>
          <w:p w:rsidR="002137F7" w:rsidRPr="00BC6FE8" w:rsidRDefault="002137F7" w:rsidP="00BE64BE">
            <w:pPr>
              <w:spacing w:line="240" w:lineRule="auto"/>
              <w:jc w:val="right"/>
              <w:rPr>
                <w:rFonts w:ascii="Calibri" w:hAnsi="Calibri"/>
                <w:noProof/>
                <w:lang w:eastAsia="pl-PL"/>
              </w:rPr>
            </w:pPr>
            <w:r w:rsidRPr="00BC6FE8">
              <w:rPr>
                <w:rFonts w:ascii="Calibri" w:hAnsi="Calibri"/>
                <w:noProof/>
                <w:lang w:eastAsia="pl-PL"/>
              </w:rPr>
              <w:drawing>
                <wp:inline distT="0" distB="0" distL="0" distR="0" wp14:anchorId="77F85716" wp14:editId="0D31D836">
                  <wp:extent cx="1630045" cy="437515"/>
                  <wp:effectExtent l="0" t="0" r="825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rsidR="009D61D0" w:rsidRDefault="009D61D0" w:rsidP="008B6F56">
      <w:pPr>
        <w:jc w:val="center"/>
        <w:rPr>
          <w:b/>
          <w:sz w:val="28"/>
          <w:szCs w:val="28"/>
        </w:rPr>
      </w:pPr>
    </w:p>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r w:rsidR="009D61D0">
        <w:rPr>
          <w:b/>
          <w:sz w:val="28"/>
          <w:szCs w:val="28"/>
        </w:rPr>
        <w:t>-sprzęt</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445839" w:rsidRDefault="00B259EA" w:rsidP="005372BD">
      <w:pPr>
        <w:pStyle w:val="Akapitzlist"/>
        <w:jc w:val="both"/>
        <w:rPr>
          <w:b/>
        </w:rPr>
      </w:pPr>
      <w:r>
        <w:t xml:space="preserve">Przedmiotem zamówienia jest </w:t>
      </w:r>
      <w:r w:rsidRPr="00C37533">
        <w:rPr>
          <w:b/>
        </w:rPr>
        <w:t>d</w:t>
      </w:r>
      <w:r w:rsidR="00C02EF1" w:rsidRPr="00C37533">
        <w:rPr>
          <w:b/>
        </w:rPr>
        <w:t xml:space="preserve">ostawa </w:t>
      </w:r>
      <w:r w:rsidR="005372BD">
        <w:rPr>
          <w:b/>
        </w:rPr>
        <w:t>i montaż</w:t>
      </w:r>
      <w:r w:rsidR="00EC3769">
        <w:rPr>
          <w:b/>
        </w:rPr>
        <w:t xml:space="preserve"> </w:t>
      </w:r>
      <w:r w:rsidR="005372BD">
        <w:rPr>
          <w:b/>
        </w:rPr>
        <w:t>sprzętu dydaktycznego</w:t>
      </w:r>
      <w:r w:rsidR="00C02EF1" w:rsidRPr="00C37533">
        <w:rPr>
          <w:b/>
        </w:rPr>
        <w:t xml:space="preserve"> dla </w:t>
      </w:r>
      <w:r w:rsidR="00820647">
        <w:rPr>
          <w:b/>
        </w:rPr>
        <w:t xml:space="preserve">Zespołu Szkół Zawodowych </w:t>
      </w:r>
      <w:r w:rsidRPr="00C37533">
        <w:rPr>
          <w:b/>
        </w:rPr>
        <w:t>w Pińczowie</w:t>
      </w:r>
      <w:r w:rsidR="00135EB2">
        <w:rPr>
          <w:b/>
        </w:rPr>
        <w:t>.</w:t>
      </w:r>
    </w:p>
    <w:p w:rsidR="005E6058" w:rsidRDefault="005E6058" w:rsidP="005372BD">
      <w:pPr>
        <w:pStyle w:val="Akapitzlist"/>
        <w:jc w:val="both"/>
        <w:rPr>
          <w:b/>
        </w:rPr>
      </w:pPr>
    </w:p>
    <w:p w:rsidR="00D22EEA" w:rsidRPr="0023081D" w:rsidRDefault="00FA6246" w:rsidP="00D22EEA">
      <w:pPr>
        <w:spacing w:after="0"/>
        <w:ind w:left="1134"/>
        <w:jc w:val="both"/>
      </w:pPr>
      <w:r>
        <w:rPr>
          <w:b/>
        </w:rPr>
        <w:t xml:space="preserve">ZADANIE: </w:t>
      </w:r>
      <w:r w:rsidR="00D22EEA" w:rsidRPr="0023081D">
        <w:t>SPRZĘT KOMPUTEROWY</w:t>
      </w:r>
      <w:r w:rsidR="00D22EEA">
        <w:t xml:space="preserve"> Z OPROGRAMOWANIEM</w:t>
      </w:r>
    </w:p>
    <w:p w:rsidR="00D22EEA" w:rsidRPr="00151E6E" w:rsidRDefault="00D22EEA" w:rsidP="00D22EEA">
      <w:pPr>
        <w:spacing w:after="0"/>
        <w:ind w:left="1134"/>
        <w:jc w:val="both"/>
        <w:rPr>
          <w:b/>
        </w:rPr>
      </w:pPr>
    </w:p>
    <w:p w:rsidR="005372BD" w:rsidRPr="005372BD" w:rsidRDefault="005372BD" w:rsidP="005372BD">
      <w:pPr>
        <w:pStyle w:val="Akapitzlist"/>
        <w:jc w:val="both"/>
        <w:rPr>
          <w:b/>
        </w:rPr>
      </w:pPr>
    </w:p>
    <w:p w:rsidR="006F161C" w:rsidRPr="00FD33D2" w:rsidRDefault="006F161C" w:rsidP="006F161C">
      <w:pPr>
        <w:pStyle w:val="Akapitzlist"/>
        <w:jc w:val="both"/>
        <w:rPr>
          <w:b/>
        </w:rPr>
      </w:pPr>
      <w:r w:rsidRPr="00FD33D2">
        <w:rPr>
          <w:b/>
        </w:rPr>
        <w:t>Wspólny słownik KOD CPV</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Default="0023081D" w:rsidP="005372B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5372BD">
        <w:rPr>
          <w:rFonts w:cstheme="minorHAnsi"/>
        </w:rPr>
        <w:t>ata 2014-2020, Oś Priorytetowa 8</w:t>
      </w:r>
      <w:r w:rsidRPr="00445839">
        <w:rPr>
          <w:rFonts w:cstheme="minorHAnsi"/>
        </w:rPr>
        <w:t xml:space="preserve"> ,,</w:t>
      </w:r>
      <w:r w:rsidR="005372BD">
        <w:rPr>
          <w:rFonts w:cstheme="minorHAnsi"/>
        </w:rPr>
        <w:t>Rozwój edukacji i aktywne społeczeństwo", Działanie 8.5</w:t>
      </w:r>
      <w:r w:rsidRPr="00445839">
        <w:rPr>
          <w:rFonts w:cstheme="minorHAnsi"/>
        </w:rPr>
        <w:t xml:space="preserve">,,Rozwój </w:t>
      </w:r>
      <w:r w:rsidR="005372BD">
        <w:rPr>
          <w:rFonts w:cstheme="minorHAnsi"/>
        </w:rPr>
        <w:t>i wysoka jakość kształcenia zawodowego i kształcenia ustawicznego</w:t>
      </w:r>
      <w:r w:rsidRPr="005372BD">
        <w:rPr>
          <w:rFonts w:cstheme="minorHAnsi"/>
        </w:rPr>
        <w:t xml:space="preserve">” w ramach projektu pn.” </w:t>
      </w:r>
      <w:r w:rsidRPr="005372BD">
        <w:rPr>
          <w:rFonts w:cstheme="minorHAnsi"/>
          <w:b/>
          <w:i/>
        </w:rPr>
        <w:t>„</w:t>
      </w:r>
      <w:r w:rsidR="005372BD">
        <w:rPr>
          <w:rFonts w:cstheme="minorHAnsi"/>
          <w:i/>
        </w:rPr>
        <w:t xml:space="preserve">Kompetencje zawodowe na miarę pracodawców w Pińczowskim Staszicu” </w:t>
      </w:r>
      <w:r w:rsidRPr="005372BD">
        <w:rPr>
          <w:rFonts w:cstheme="minorHAnsi"/>
          <w:i/>
        </w:rPr>
        <w:t xml:space="preserve"> </w:t>
      </w:r>
      <w:r w:rsidR="005372BD">
        <w:rPr>
          <w:rFonts w:cstheme="minorHAnsi"/>
        </w:rPr>
        <w:t>objętego umową nr RPSW.08.05</w:t>
      </w:r>
      <w:r w:rsidRPr="005372BD">
        <w:rPr>
          <w:rFonts w:cstheme="minorHAnsi"/>
        </w:rPr>
        <w:t>.0</w:t>
      </w:r>
      <w:r w:rsidR="005372BD">
        <w:rPr>
          <w:rFonts w:cstheme="minorHAnsi"/>
        </w:rPr>
        <w:t>1-26-0021/18</w:t>
      </w:r>
      <w:r w:rsidRPr="005372BD">
        <w:rPr>
          <w:rFonts w:cstheme="minorHAnsi"/>
        </w:rPr>
        <w:t>-00.</w:t>
      </w:r>
    </w:p>
    <w:p w:rsidR="00371AF3" w:rsidRPr="005372BD" w:rsidRDefault="00371AF3" w:rsidP="005372BD">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6F4501" w:rsidRDefault="0023081D" w:rsidP="0023081D">
      <w:pPr>
        <w:pStyle w:val="Akapitzlist"/>
        <w:numPr>
          <w:ilvl w:val="1"/>
          <w:numId w:val="1"/>
        </w:numPr>
        <w:spacing w:after="0"/>
      </w:pPr>
      <w:r>
        <w:t xml:space="preserve">Wymagany termin realizacji zamówienia : </w:t>
      </w:r>
    </w:p>
    <w:p w:rsidR="0023081D" w:rsidRPr="006F4501" w:rsidRDefault="00FA6246" w:rsidP="00FA6246">
      <w:pPr>
        <w:pStyle w:val="Akapitzlist"/>
        <w:spacing w:after="0"/>
        <w:ind w:left="4972" w:firstLine="692"/>
        <w:rPr>
          <w:b/>
        </w:rPr>
      </w:pPr>
      <w:r>
        <w:rPr>
          <w:b/>
        </w:rPr>
        <w:t>do 25</w:t>
      </w:r>
      <w:r w:rsidR="006F4501" w:rsidRPr="006F4501">
        <w:rPr>
          <w:b/>
        </w:rPr>
        <w:t xml:space="preserve"> stycznia 2019 roku</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lastRenderedPageBreak/>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w:t>
      </w:r>
      <w:r>
        <w:lastRenderedPageBreak/>
        <w:t>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w:t>
      </w:r>
      <w:r>
        <w:lastRenderedPageBreak/>
        <w:t xml:space="preserve">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FE18C1" w:rsidRDefault="00FE18C1" w:rsidP="00FE18C1">
      <w:pPr>
        <w:spacing w:after="0"/>
        <w:jc w:val="both"/>
        <w:rPr>
          <w:rFonts w:cs="A"/>
        </w:rPr>
      </w:pPr>
    </w:p>
    <w:p w:rsidR="00FE18C1" w:rsidRPr="00FE18C1" w:rsidRDefault="00FE18C1" w:rsidP="00FE18C1">
      <w:pPr>
        <w:spacing w:after="0"/>
        <w:jc w:val="both"/>
        <w:rPr>
          <w:rFonts w:cs="A"/>
        </w:rPr>
      </w:pP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 xml:space="preserve">Wykonawca może w celu potwierdzenia spełniania warunków udziału w postępowaniu w stosownych sytuacjach oraz w odniesieniu do konkretnego zamówienia lub jego części, </w:t>
      </w:r>
      <w:r>
        <w:lastRenderedPageBreak/>
        <w:t>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lastRenderedPageBreak/>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E81BDD" w:rsidRPr="00151E6E" w:rsidRDefault="0023081D" w:rsidP="00FA6246">
      <w:pPr>
        <w:pStyle w:val="Akapitzlist"/>
        <w:numPr>
          <w:ilvl w:val="0"/>
          <w:numId w:val="1"/>
        </w:numPr>
        <w:spacing w:after="0"/>
        <w:jc w:val="both"/>
        <w:rPr>
          <w:b/>
        </w:rPr>
      </w:pPr>
      <w:r>
        <w:rPr>
          <w:b/>
        </w:rPr>
        <w:t xml:space="preserve">Zamawiający </w:t>
      </w:r>
      <w:r w:rsidR="00FA6246">
        <w:rPr>
          <w:b/>
        </w:rPr>
        <w:t xml:space="preserve">nie </w:t>
      </w:r>
      <w:r w:rsidRPr="00845335">
        <w:rPr>
          <w:b/>
        </w:rPr>
        <w:t>dopusz</w:t>
      </w:r>
      <w:r w:rsidR="00FA6246">
        <w:rPr>
          <w:b/>
        </w:rPr>
        <w:t>cza składania ofert częściowych.</w:t>
      </w:r>
    </w:p>
    <w:p w:rsidR="0023081D" w:rsidRPr="00845335" w:rsidRDefault="0023081D" w:rsidP="0023081D">
      <w:pPr>
        <w:pStyle w:val="Akapitzlist"/>
        <w:numPr>
          <w:ilvl w:val="0"/>
          <w:numId w:val="1"/>
        </w:numPr>
        <w:spacing w:after="0"/>
        <w:rPr>
          <w:b/>
        </w:rPr>
      </w:pPr>
      <w:r w:rsidRPr="00845335">
        <w:rPr>
          <w:b/>
        </w:rPr>
        <w:t>Zamawiający nie dopuszc</w:t>
      </w:r>
      <w:r w:rsidR="00FA6246">
        <w:rPr>
          <w:b/>
        </w:rPr>
        <w:t>za składania ofert wariantowych.</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r w:rsidR="00FA6246">
        <w:rPr>
          <w:b/>
        </w:rPr>
        <w:t>.</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lastRenderedPageBreak/>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12"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w:t>
      </w:r>
      <w:r>
        <w:lastRenderedPageBreak/>
        <w:t>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FA6246">
      <w:pPr>
        <w:pStyle w:val="Akapitzlist"/>
        <w:numPr>
          <w:ilvl w:val="1"/>
          <w:numId w:val="1"/>
        </w:numPr>
        <w:spacing w:after="0"/>
        <w:jc w:val="both"/>
      </w:pPr>
      <w:r w:rsidRPr="0045127F">
        <w:t xml:space="preserve">Wadium w wysokości </w:t>
      </w:r>
      <w:r w:rsidR="00FA6246" w:rsidRPr="00FA6246">
        <w:rPr>
          <w:b/>
        </w:rPr>
        <w:t>1200,00zł</w:t>
      </w:r>
      <w:r w:rsidR="00FA6246">
        <w:t xml:space="preserve"> n</w:t>
      </w:r>
      <w:r w:rsidRPr="0045127F">
        <w:t>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FE18C1" w:rsidRDefault="0023081D" w:rsidP="00FE18C1">
      <w:pPr>
        <w:pStyle w:val="Akapitzlist"/>
        <w:spacing w:after="0"/>
        <w:ind w:left="3540" w:hanging="513"/>
        <w:jc w:val="center"/>
        <w:rPr>
          <w:b/>
        </w:rPr>
      </w:pPr>
      <w:r w:rsidRPr="00B72823">
        <w:rPr>
          <w:b/>
        </w:rPr>
        <w:t xml:space="preserve">Nr rachunku  17 8509 0002 2001 0000 0185 0002 </w:t>
      </w:r>
      <w:r w:rsidR="00B35860">
        <w:rPr>
          <w:b/>
        </w:rPr>
        <w:br/>
      </w:r>
      <w:r w:rsidRPr="00FE18C1">
        <w:rPr>
          <w:b/>
        </w:rPr>
        <w:t>z dopiskiem „WADIUM” -</w:t>
      </w:r>
      <w:r w:rsidR="00151E6E" w:rsidRPr="00FE18C1">
        <w:rPr>
          <w:b/>
        </w:rPr>
        <w:t xml:space="preserve"> „ZSZ</w:t>
      </w:r>
      <w:r w:rsidR="00B35860" w:rsidRPr="00FE18C1">
        <w:rPr>
          <w:b/>
        </w:rPr>
        <w:t xml:space="preserve"> </w:t>
      </w:r>
      <w:r w:rsidR="00C14C8E" w:rsidRPr="00FE18C1">
        <w:rPr>
          <w:b/>
        </w:rPr>
        <w:t>–</w:t>
      </w:r>
      <w:r w:rsidR="00B35860" w:rsidRPr="00FE18C1">
        <w:rPr>
          <w:b/>
        </w:rPr>
        <w:t xml:space="preserve"> sprzęt</w:t>
      </w:r>
      <w:r w:rsidR="00FE18C1" w:rsidRPr="00FE18C1">
        <w:rPr>
          <w:b/>
        </w:rPr>
        <w:t xml:space="preserve"> </w:t>
      </w:r>
      <w:r w:rsidRPr="00FE18C1">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lastRenderedPageBreak/>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FE18C1" w:rsidP="006A75CC">
      <w:pPr>
        <w:pStyle w:val="Akapitzlist"/>
        <w:spacing w:after="0"/>
        <w:ind w:left="0"/>
        <w:jc w:val="center"/>
        <w:rPr>
          <w:b/>
        </w:rPr>
      </w:pPr>
      <w:r>
        <w:rPr>
          <w:b/>
        </w:rPr>
        <w:t>„</w:t>
      </w:r>
      <w:r w:rsidR="00FA6246">
        <w:rPr>
          <w:b/>
        </w:rPr>
        <w:t>ZSZ – SPRZĘT ”</w:t>
      </w:r>
    </w:p>
    <w:p w:rsidR="0023081D" w:rsidRDefault="0023081D" w:rsidP="0023081D">
      <w:pPr>
        <w:pStyle w:val="Akapitzlist"/>
        <w:spacing w:after="0"/>
        <w:ind w:left="1080"/>
        <w:jc w:val="center"/>
        <w:rPr>
          <w:b/>
        </w:rPr>
      </w:pPr>
      <w:r>
        <w:rPr>
          <w:b/>
        </w:rPr>
        <w:t xml:space="preserve">„Nie otwierać przed </w:t>
      </w:r>
      <w:r w:rsidR="00FA6246">
        <w:rPr>
          <w:b/>
        </w:rPr>
        <w:t>27</w:t>
      </w:r>
      <w:r w:rsidR="00FE18C1">
        <w:rPr>
          <w:b/>
        </w:rPr>
        <w:t>.12</w:t>
      </w:r>
      <w:r w:rsidR="00977429">
        <w:rPr>
          <w:b/>
        </w:rPr>
        <w:t xml:space="preserve">.2018 </w:t>
      </w:r>
      <w:r>
        <w:rPr>
          <w:b/>
        </w:rPr>
        <w:t xml:space="preserve">Godz. </w:t>
      </w:r>
      <w:r w:rsidR="00FA6246">
        <w:rPr>
          <w:b/>
        </w:rPr>
        <w:t>12</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FA6246">
        <w:t>27</w:t>
      </w:r>
      <w:r w:rsidR="00FE18C1">
        <w:t>.12</w:t>
      </w:r>
      <w:r w:rsidR="00977429">
        <w:t xml:space="preserve">.2018 </w:t>
      </w:r>
      <w:r>
        <w:t xml:space="preserve">do godz. </w:t>
      </w:r>
      <w:r w:rsidR="00FA6246">
        <w:t>12</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FA6246">
        <w:t>27</w:t>
      </w:r>
      <w:r w:rsidR="00FE18C1">
        <w:t>.12</w:t>
      </w:r>
      <w:r w:rsidR="00977429">
        <w:t>.2018</w:t>
      </w:r>
      <w:r>
        <w:t xml:space="preserve"> godz.</w:t>
      </w:r>
      <w:r w:rsidR="00FA6246">
        <w:t xml:space="preserve"> 12</w:t>
      </w:r>
      <w:bookmarkStart w:id="0" w:name="_GoBack"/>
      <w:bookmarkEnd w:id="0"/>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lastRenderedPageBreak/>
        <w:t>W odniesieniu do Wykonawców, których oferty nie podlegają odrzuceniu Zamawiający dokona oceny oferty na podstawie kryterium:</w:t>
      </w: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lastRenderedPageBreak/>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B35860">
        <w:rPr>
          <w:b/>
        </w:rPr>
        <w:t>i  montaż sprzętu</w:t>
      </w:r>
      <w:r w:rsidR="006A75CC">
        <w:rPr>
          <w:b/>
        </w:rPr>
        <w:t xml:space="preserve"> </w:t>
      </w:r>
      <w:r w:rsidRPr="00250C14">
        <w:rPr>
          <w:b/>
        </w:rPr>
        <w:t xml:space="preserve">dydaktycznego dla </w:t>
      </w:r>
      <w:r w:rsidR="006A75CC">
        <w:rPr>
          <w:b/>
        </w:rPr>
        <w:t>Zespołu Szkół Zawodowych</w:t>
      </w:r>
      <w:r w:rsidRPr="00250C14">
        <w:rPr>
          <w:b/>
        </w:rPr>
        <w:t xml:space="preserve"> w Pińczowie</w:t>
      </w:r>
      <w:r w:rsidR="009615C3">
        <w:rPr>
          <w:b/>
        </w:rPr>
        <w:t xml:space="preserve"> - sprzęt</w:t>
      </w:r>
      <w:r w:rsidR="00B35860">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lastRenderedPageBreak/>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B35860">
        <w:t xml:space="preserve">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35EB2"/>
    <w:rsid w:val="00151E6E"/>
    <w:rsid w:val="00162128"/>
    <w:rsid w:val="00162777"/>
    <w:rsid w:val="001649C1"/>
    <w:rsid w:val="00181457"/>
    <w:rsid w:val="00196C69"/>
    <w:rsid w:val="001B6EFF"/>
    <w:rsid w:val="001D23BF"/>
    <w:rsid w:val="001D4477"/>
    <w:rsid w:val="001D501A"/>
    <w:rsid w:val="001E0D27"/>
    <w:rsid w:val="001F3BB0"/>
    <w:rsid w:val="001F5143"/>
    <w:rsid w:val="00207755"/>
    <w:rsid w:val="002128E5"/>
    <w:rsid w:val="002137F7"/>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1AF3"/>
    <w:rsid w:val="00374339"/>
    <w:rsid w:val="00392439"/>
    <w:rsid w:val="00394342"/>
    <w:rsid w:val="003E2BCE"/>
    <w:rsid w:val="003F5B00"/>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372BD"/>
    <w:rsid w:val="0054535D"/>
    <w:rsid w:val="00554AF3"/>
    <w:rsid w:val="0056098A"/>
    <w:rsid w:val="0056405C"/>
    <w:rsid w:val="005806DF"/>
    <w:rsid w:val="00595A5F"/>
    <w:rsid w:val="005C05C1"/>
    <w:rsid w:val="005C4491"/>
    <w:rsid w:val="005C7AF6"/>
    <w:rsid w:val="005D5410"/>
    <w:rsid w:val="005E3D16"/>
    <w:rsid w:val="005E6058"/>
    <w:rsid w:val="00602B60"/>
    <w:rsid w:val="006100C4"/>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6F4501"/>
    <w:rsid w:val="00707C07"/>
    <w:rsid w:val="00727AD3"/>
    <w:rsid w:val="00735127"/>
    <w:rsid w:val="00773FA1"/>
    <w:rsid w:val="00783734"/>
    <w:rsid w:val="00790DAF"/>
    <w:rsid w:val="007A5177"/>
    <w:rsid w:val="007C4D88"/>
    <w:rsid w:val="007F4899"/>
    <w:rsid w:val="00803D56"/>
    <w:rsid w:val="00820647"/>
    <w:rsid w:val="008401DD"/>
    <w:rsid w:val="00845335"/>
    <w:rsid w:val="00884D5E"/>
    <w:rsid w:val="00896E08"/>
    <w:rsid w:val="008A0AAD"/>
    <w:rsid w:val="008A726C"/>
    <w:rsid w:val="008B6F56"/>
    <w:rsid w:val="008D1CF8"/>
    <w:rsid w:val="008F4340"/>
    <w:rsid w:val="008F69E7"/>
    <w:rsid w:val="00915CB0"/>
    <w:rsid w:val="0092774F"/>
    <w:rsid w:val="00934815"/>
    <w:rsid w:val="00941C29"/>
    <w:rsid w:val="00946B65"/>
    <w:rsid w:val="009615C3"/>
    <w:rsid w:val="009722A9"/>
    <w:rsid w:val="00972A22"/>
    <w:rsid w:val="00974BBC"/>
    <w:rsid w:val="0097511B"/>
    <w:rsid w:val="00977429"/>
    <w:rsid w:val="00982FE3"/>
    <w:rsid w:val="009854DE"/>
    <w:rsid w:val="00993CFB"/>
    <w:rsid w:val="009B610E"/>
    <w:rsid w:val="009D61D0"/>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35860"/>
    <w:rsid w:val="00B5375A"/>
    <w:rsid w:val="00B72823"/>
    <w:rsid w:val="00B96DA4"/>
    <w:rsid w:val="00BA4F7A"/>
    <w:rsid w:val="00BC3D83"/>
    <w:rsid w:val="00BC5C7D"/>
    <w:rsid w:val="00BD17BE"/>
    <w:rsid w:val="00BD2263"/>
    <w:rsid w:val="00BF238E"/>
    <w:rsid w:val="00BF4172"/>
    <w:rsid w:val="00C01687"/>
    <w:rsid w:val="00C02EF1"/>
    <w:rsid w:val="00C11BBB"/>
    <w:rsid w:val="00C14C8E"/>
    <w:rsid w:val="00C23AF2"/>
    <w:rsid w:val="00C37533"/>
    <w:rsid w:val="00C47277"/>
    <w:rsid w:val="00C524AA"/>
    <w:rsid w:val="00C90F3F"/>
    <w:rsid w:val="00CB6DA0"/>
    <w:rsid w:val="00CC2B7A"/>
    <w:rsid w:val="00CD19CB"/>
    <w:rsid w:val="00CE23E3"/>
    <w:rsid w:val="00CE2439"/>
    <w:rsid w:val="00CE3A6E"/>
    <w:rsid w:val="00CE5906"/>
    <w:rsid w:val="00CF6DD5"/>
    <w:rsid w:val="00D03599"/>
    <w:rsid w:val="00D04F94"/>
    <w:rsid w:val="00D22EEA"/>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A6246"/>
    <w:rsid w:val="00FB6C64"/>
    <w:rsid w:val="00FB759B"/>
    <w:rsid w:val="00FC4A21"/>
    <w:rsid w:val="00FD33D2"/>
    <w:rsid w:val="00FD3F09"/>
    <w:rsid w:val="00FE18C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mocja@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24DE-1126-4654-B120-C35FB316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5745</Words>
  <Characters>34471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7</cp:revision>
  <cp:lastPrinted>2018-12-17T12:24:00Z</cp:lastPrinted>
  <dcterms:created xsi:type="dcterms:W3CDTF">2018-11-23T09:42:00Z</dcterms:created>
  <dcterms:modified xsi:type="dcterms:W3CDTF">2018-12-17T12:25:00Z</dcterms:modified>
</cp:coreProperties>
</file>